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A3" w:rsidRPr="000E7BA3" w:rsidRDefault="000E7BA3" w:rsidP="000E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0E7BA3" w:rsidRPr="000E7BA3" w:rsidRDefault="000E7BA3" w:rsidP="000E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Звягин Сергей Васильевич</w:t>
      </w:r>
    </w:p>
    <w:p w:rsidR="000E7BA3" w:rsidRPr="000E7BA3" w:rsidRDefault="000E7BA3" w:rsidP="00A47A05">
      <w:pPr>
        <w:tabs>
          <w:tab w:val="left" w:pos="26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Звягин С.В.</w:t>
      </w:r>
      <w:r w:rsidR="00A4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E7BA3" w:rsidRPr="007A26EB" w:rsidRDefault="007A26EB" w:rsidP="000E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A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A47EA" w:rsidRPr="007A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</w:t>
      </w:r>
      <w:r w:rsidR="00FA47EA" w:rsidRPr="007A2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2015</w:t>
      </w:r>
      <w:r w:rsidR="000E7BA3" w:rsidRPr="007A2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0E7BA3" w:rsidRPr="000E7BA3" w:rsidRDefault="000E7BA3" w:rsidP="000E7B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7BA3" w:rsidRPr="00542315" w:rsidRDefault="000E7BA3" w:rsidP="0054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</w:t>
      </w:r>
    </w:p>
    <w:p w:rsidR="000E7BA3" w:rsidRPr="00542315" w:rsidRDefault="000E7BA3" w:rsidP="0054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стимулирующего мероприятия «</w:t>
      </w:r>
      <w:r w:rsidR="005B7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Удачные покупки</w:t>
      </w:r>
      <w:r w:rsidRPr="00542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7BA3" w:rsidRPr="000E7BA3" w:rsidRDefault="000E7BA3" w:rsidP="004D7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7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             Наименование Стимулирующего мероприятия: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  Стимулирующее мероприятие  </w:t>
      </w:r>
      <w:r w:rsidR="00EA217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7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Удачные покупки</w:t>
      </w:r>
      <w:r w:rsidR="00EA217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настоящих Условий – «Стимулирующее мероприятие»).</w:t>
      </w:r>
    </w:p>
    <w:p w:rsid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             Способ проведения Стимулирующего мероприятия:</w:t>
      </w:r>
    </w:p>
    <w:p w:rsidR="00542315" w:rsidRDefault="00112A3A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Стимулирующее мероприятие по способу его проведения  является стимулирующим мероприятием  не в виде лотереи (регулируется законом о рекламе и </w:t>
      </w:r>
      <w:proofErr w:type="gramStart"/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proofErr w:type="gramEnd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данных) проводимое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установленного периода,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розыгрыша подарочного фонда</w:t>
      </w:r>
      <w:r w:rsid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тимулирующего мероприятия путем определения выигр</w:t>
      </w:r>
      <w:r w:rsidR="004B3B6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B3B6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участников </w:t>
      </w:r>
      <w:r w:rsidR="00C41A0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компетентной комиссией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9.2-9.6. настоящих Условий. 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12A3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розыгрыша подарочного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Стимулирующего мероприятия не используется лотерейное оборудование.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 Стимулирующее мероприятие по способу формирования его </w:t>
      </w:r>
      <w:r w:rsidR="004B3B6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(далее по тексту настоящих Условий – «Призовой фонд») </w:t>
      </w:r>
      <w:r w:rsidR="00112A3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12A3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лотереей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Призово</w:t>
      </w:r>
      <w:r w:rsidR="00112A3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фонд формируется организатором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стимулирующего мероприятия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предусматривает выручки и целевых отчислений.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 Стимулирующее мероприятие в соответствии с технологией его проведения является мероприятием, проводимым в обычном режиме, при котором сбор, передача, обработка</w:t>
      </w:r>
      <w:r w:rsid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хранение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получаемой информации, формирование и розыгрыш Призового фонда Стимулирующего мероприятия осуществляется </w:t>
      </w:r>
      <w:r w:rsid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</w:t>
      </w:r>
      <w:r w:rsidR="0070601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настоящим</w:t>
      </w:r>
      <w:r w:rsid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</w:t>
      </w:r>
      <w:r w:rsidR="0070601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   Стимулирующее мероприятие проводится Организатором непосредственно от своего имени. </w:t>
      </w:r>
    </w:p>
    <w:p w:rsidR="00542315" w:rsidRDefault="00542315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E7BA3" w:rsidRPr="00542315" w:rsidRDefault="00542315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Территория проведения Стимулирующего мероприятия:</w:t>
      </w:r>
    </w:p>
    <w:p w:rsidR="000E7BA3" w:rsidRPr="00542315" w:rsidRDefault="00542315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Стимулирующее мероприятие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город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A0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Стимулирующего мероприятия –</w:t>
      </w:r>
      <w:r w:rsidR="00C41A0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Торгово-развлекательный ц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  «</w:t>
      </w:r>
      <w:r w:rsidR="00C41A0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расположенный по адресу: </w:t>
      </w:r>
      <w:proofErr w:type="gramStart"/>
      <w:r w:rsidR="00C41A0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</w:t>
      </w:r>
      <w:r w:rsidR="00B7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г. Котлас, ул. Мира, д. 18,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настоящих Условий  – «</w:t>
      </w:r>
      <w:r w:rsidR="00C41A0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Столица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и/или «ТРЦ»).</w:t>
      </w:r>
      <w:proofErr w:type="gramEnd"/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4. 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Призовой фонд Стимулирующего мероприятия:</w:t>
      </w:r>
    </w:p>
    <w:p w:rsidR="00C41A07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="00401A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призового фонда стимулирующего мероприятия устанавливается в </w:t>
      </w:r>
      <w:r w:rsidR="00EE4DE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</w:t>
      </w:r>
      <w:r w:rsidR="00D158C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настоящих условий</w:t>
      </w:r>
      <w:r w:rsidR="00D158C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Призовой фонд формируется Организатором стимулирующего мероприятия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стоимость призов является ориентировочной, окончательная стоимость будет указана в  документах, подписываемых с победителями Стимулирующего мероприятия по результатам проведения розыгрыша.</w:t>
      </w:r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оставляет за собой право до даты окончания Стимулирующего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изменения в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призов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(Призовой фонд)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дополнять его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призами, производить их замену на призы иной стоимости и комплектации.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Внешний вид, комплектация оригинальн</w:t>
      </w:r>
      <w:r w:rsidR="00D158C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="00D158C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отличаться от </w:t>
      </w:r>
      <w:r w:rsidR="00D158C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в  рекламных материалах.</w:t>
      </w:r>
    </w:p>
    <w:p w:rsidR="00401AB1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5. 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проведения Стимулирующего мероприятия:</w:t>
      </w:r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5.1.Целью проведения стимулирующего мероприятия является п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покупателей в </w:t>
      </w:r>
      <w:r w:rsidR="00DE2AE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РЦ «</w:t>
      </w:r>
      <w:r w:rsidR="00DE2AE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повышение лояльности покупателей,  увеличение количества покупок и размера среднего чека.</w:t>
      </w:r>
    </w:p>
    <w:p w:rsidR="00401AB1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Организатор Стимулирующего мероприятия:</w:t>
      </w:r>
    </w:p>
    <w:p w:rsidR="000E7BA3" w:rsidRPr="00542315" w:rsidRDefault="00401AB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Организаторе Стимулирующего мероприятия: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Наименование Организатора – </w:t>
      </w:r>
      <w:r w:rsidR="00FC262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DE2AE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Звягин Сергей Васильевич,</w:t>
      </w:r>
      <w:r w:rsidRPr="0054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настоящих Условий – «Организатор»;</w:t>
      </w:r>
    </w:p>
    <w:p w:rsidR="00FC2621" w:rsidRPr="00542315" w:rsidRDefault="00FC2621" w:rsidP="0054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315">
        <w:rPr>
          <w:rFonts w:ascii="Times New Roman" w:hAnsi="Times New Roman" w:cs="Times New Roman"/>
          <w:sz w:val="24"/>
          <w:szCs w:val="24"/>
        </w:rPr>
        <w:t xml:space="preserve">164522, г. Северодвинск, Архангельская область, ул. Ломоносова, д. 116,  кв. 57, </w:t>
      </w:r>
      <w:proofErr w:type="gramEnd"/>
    </w:p>
    <w:p w:rsidR="00FC2621" w:rsidRPr="00542315" w:rsidRDefault="00FC2621" w:rsidP="005423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315">
        <w:rPr>
          <w:rFonts w:ascii="Times New Roman" w:hAnsi="Times New Roman" w:cs="Times New Roman"/>
          <w:sz w:val="24"/>
          <w:szCs w:val="24"/>
        </w:rPr>
        <w:t>ОГРН 312293212600070, ИНН 290203012131</w:t>
      </w:r>
    </w:p>
    <w:p w:rsidR="00FC2621" w:rsidRPr="00401AB1" w:rsidRDefault="00FC2621" w:rsidP="0054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в качестве индивидуального предпринимателя - Серия 29 № 002046924 выдано 05.05.2012 г. Межрайонной ИФНС России № 9 по Архангельской области  и НАО;</w:t>
      </w:r>
    </w:p>
    <w:p w:rsidR="00FC2621" w:rsidRPr="00542315" w:rsidRDefault="00FC2621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1A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7. </w:t>
      </w: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Сроки</w:t>
      </w:r>
      <w:r w:rsidR="00401A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порядок</w:t>
      </w: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проведения Стимулирующего мероприятия: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  Сроки проведения Стимулирующего мероприятия: с «</w:t>
      </w:r>
      <w:r w:rsidR="0055659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="007825B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56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«15» августа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825B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7.2.    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Стимулирующее мероприятие проводится в несколько 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нижеследующих 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этапов и включает в себя следующее: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между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и Организатором, производится в период </w:t>
      </w:r>
      <w:r w:rsidR="008B6A02">
        <w:rPr>
          <w:rFonts w:ascii="Times New Roman" w:eastAsia="Times New Roman" w:hAnsi="Times New Roman" w:cs="Times New Roman"/>
          <w:sz w:val="24"/>
          <w:szCs w:val="24"/>
          <w:lang w:eastAsia="ru-RU"/>
        </w:rPr>
        <w:t>с 11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часов с</w:t>
      </w:r>
      <w:r w:rsidR="008B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02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6A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B6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</w:t>
      </w:r>
      <w:r w:rsidR="00134DC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15 </w:t>
      </w:r>
      <w:r w:rsidR="008B6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825B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овершение покупок согласно подпункту 7.2.1. п. 7.2. настоящих Условий осуществляется в перио</w:t>
      </w:r>
      <w:r w:rsidR="00AC4243">
        <w:rPr>
          <w:rFonts w:ascii="Times New Roman" w:eastAsia="Times New Roman" w:hAnsi="Times New Roman" w:cs="Times New Roman"/>
          <w:sz w:val="24"/>
          <w:szCs w:val="24"/>
          <w:lang w:eastAsia="ru-RU"/>
        </w:rPr>
        <w:t>д с 8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B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A02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2015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</w:t>
      </w:r>
      <w:r w:rsidR="00134DC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15</w:t>
      </w:r>
      <w:r w:rsidR="008B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825B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0E7BA3" w:rsidRPr="00542315" w:rsidRDefault="00142685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Получение купонов, согласно подпункту 7.2.1. п. 7.2 настоящих Усло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осуществляется в период с 11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7825B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2015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2</w:t>
      </w:r>
      <w:r w:rsidR="00134DC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14 августа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825B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E7BA3" w:rsidRPr="00542315" w:rsidRDefault="00142685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Совершение действий по опусканию отрывной части к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упона в прозрачный, пластиковый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ящик, опечатанный </w:t>
      </w:r>
      <w:r w:rsidR="00134DC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пломбой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установленный на 1 (первом) этаже  ТРЦ «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настоящих условий  – «ящик для сбора купонов»), осуществляется в период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2015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2</w:t>
      </w:r>
      <w:r w:rsidR="00134DC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14 августа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E7BA3" w:rsidRPr="00542315" w:rsidRDefault="00142685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розыгрыша Призового фонда Стимул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ирующего мероприятия,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«25» июля 2015 года, «1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 года, «8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  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5  года,  в г. Котлас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ТРЦ «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Столица»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у входа в ТРЦ в </w:t>
      </w:r>
      <w:r w:rsidR="002F09A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0E7BA3" w:rsidRPr="00542315" w:rsidRDefault="00142685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7.2.5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Публикация итогов розыгрыша Призового 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 производится в течение 15 (пятнадцати) календарных дней с момента проведения </w:t>
      </w:r>
      <w:r w:rsidR="00E61B8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гового розыгрыша (т.е. после «15</w:t>
      </w:r>
      <w:r w:rsidR="00E61B8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E61B87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года)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1E4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(выдача) призов 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 Участникам (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</w:t>
      </w:r>
      <w:r w:rsidR="00470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в день розыгрыша или в иной день (иной срок), установленный настоящими Условиями или согласованный выигравшим Участником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(Победителем)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Организатором.</w:t>
      </w:r>
    </w:p>
    <w:p w:rsidR="004701E4" w:rsidRDefault="004701E4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A3" w:rsidRPr="00542315" w:rsidRDefault="004701E4" w:rsidP="0047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8. 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участия в стимулирующем мероприятии.</w:t>
      </w:r>
    </w:p>
    <w:p w:rsidR="000E7BA3" w:rsidRPr="00542315" w:rsidRDefault="004701E4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8.1. 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Организатором и Участником Стимулирующего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F2601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6E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Удачные покупки</w:t>
      </w:r>
      <w:r w:rsidR="00F2601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безвозмездным и заключается на добровольной основе.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8.2.       </w:t>
      </w:r>
      <w:proofErr w:type="gram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производится путем направления публичной оферты (предложения) Организатором Стимулирующего мероприятия посредством информирования потенциальных участников путем размещения информации </w:t>
      </w:r>
      <w:r w:rsidR="0070601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Стимулирующего мероприятия в рекламно-информационных материалах (плакаты, </w:t>
      </w:r>
      <w:proofErr w:type="spell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шелфтокеры</w:t>
      </w:r>
      <w:proofErr w:type="spellEnd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рекламные, рекламно-информационные м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атериалы);  размещения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посредством наружной рекламы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(баннеры и фасады)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местах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соответствующей информации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рекламных </w:t>
      </w:r>
      <w:r w:rsidR="00F2601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роликах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ТРЦ «</w:t>
      </w:r>
      <w:r w:rsidR="00504BA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</w:t>
      </w:r>
      <w:r w:rsidR="00504BA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регистрационной стойке в ТРЦ «Столица»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совершения Участником необходимых действий, предусмотренных настоящими условиями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0E7BA3" w:rsidP="00E67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направле</w:t>
      </w:r>
      <w:r w:rsidR="00F26011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совершеннолетним физическим лицам, проживающим на территории Российской Федерации в соответствии с утвержденным способом информирования.</w:t>
      </w:r>
    </w:p>
    <w:p w:rsidR="000E7BA3" w:rsidRPr="00542315" w:rsidRDefault="00E67E96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Стимулирующем мероприятии допускаются дееспособные физические лица, достигшие возраста 18-ти (восемнадцати) лет (совершеннолетия), за исключением работников и представителей Организатора, аффилированных с ними лиц, членов семей таких работников и представителей, а равно работников и представителей любых других лиц, имеющих отношение к организации и/или проведению настоящего Стимулирующего мероприятия, а также членов их семей.</w:t>
      </w:r>
      <w:proofErr w:type="gramEnd"/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 участию в Стимулирующем мероприятии не допускаются: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приобретающие товары для последующей их реализации, т.е. для ведения предпринимательской деятельности;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      Чтобы стать участником Стимулирующего мероприятия, необходимо заключить договор с Организатором на участие в Стимулирующем мероприятии. Договор с Организатором будет считаться заключенным после совершения участником следующих действий в совокупности:</w:t>
      </w:r>
    </w:p>
    <w:p w:rsidR="00764394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В период, указанный в п. 7.2.1., Участнику необходимо осуществить покупку товаров в</w:t>
      </w:r>
      <w:r w:rsidR="005B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«Столица»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394" w:rsidRPr="00542315" w:rsidRDefault="00764394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чеки</w:t>
      </w:r>
      <w:r w:rsidR="00134DC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 которых не менее 100 (Ста) рублей.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(Один) рубль в предъявленном Участником кассовом и/или товарном чеке (чеках) на товар, приобретенный в 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ТРЦ «Столица»,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Стимулирующего мероприятия, эквивалентен 1 (Одному) бонусу.</w:t>
      </w:r>
    </w:p>
    <w:p w:rsidR="000E7BA3" w:rsidRPr="00542315" w:rsidRDefault="000E7BA3" w:rsidP="005423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(понедельник-пятница</w:t>
      </w:r>
      <w:proofErr w:type="gram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частнику, накопившему 2 000 бонусов, предоставляется возможность стать обладателем 1 (Одного) Купона. В будние дни купоны выдаются на каждые 2 000 бонусов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0E7BA3" w:rsidP="005423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дни (суббота, воскресенье) – Участнику, накопившему  3 000 бонусов, предоставляется возможность стать обладателем 1 (Одного) Купона.  В выходные дни купоны выдаются на каждые 3 000 бонусов.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Товарами и услугами, с реализацией которых непосредственно связано проведение Стимулирующего мероприятия, являются 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и услуги, </w:t>
      </w:r>
      <w:r w:rsidR="00585AA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ТРЦ «Столица»,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 весь ассортимент товаров и услуг, купленных в любом отделе, находящемся в 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«Столица»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Признаком, позволяющим</w:t>
      </w:r>
      <w:r w:rsidR="005B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взаимосвязь товара/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проводимого Стимулирующего мероприятия является</w:t>
      </w:r>
      <w:proofErr w:type="gramEnd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кассовый чек и/или товарный (чеки) на товар, приобретенный в 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«Столица</w:t>
      </w:r>
      <w:r w:rsidR="005B7D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период, указанный в п. 7.2.1., с учетом условий, указанных в настоящем пункте.                 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Если на чеке имеется печать Стимулирующего мероприятия, то он считается погашенным и купон при его предъявлении не выдается.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8.4.2. После совершения покупки предъявить оригинал кассового и/или товарного чека (чеков) номиналом не менее 100 (Ста) рублей на промо-стойке, находящейся на 1 (первом)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этаже ТРЦ «</w:t>
      </w:r>
      <w:r w:rsidR="00B35738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случае возникновения у Организатора сомнений в подлинности предъявленных чеков либо их принадлежности предъявившему лицу, Организатор вправе отказать Участнику в их регистрации.</w:t>
      </w:r>
    </w:p>
    <w:p w:rsidR="00630EDF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Заполнить регистрационную анкету Участника, в которой указываются обязательные персональные данные (Ф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ИО, контактный телефон, e-</w:t>
      </w:r>
      <w:proofErr w:type="spellStart"/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необходимая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мация).  Заполнение и подписание участником данной анкеты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и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E6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настоящими Условиями</w:t>
      </w:r>
      <w:r w:rsidR="00630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на анкете является уникальным идентификационным номером Участника. </w:t>
      </w:r>
      <w:proofErr w:type="gram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Участника (включая уникальный идентификационный номер Участника) заносятся Организатором  в специализированную программу регистрации участников Стимулирующего мероприятия (далее по тексту – «программа регистрации участников»)</w:t>
      </w:r>
      <w:r w:rsidR="00630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купона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розыгрыше</w:t>
      </w:r>
      <w:r w:rsid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</w:t>
      </w:r>
      <w:r w:rsidR="00630ED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между данным лицом и Организатором считается заключенным, а </w:t>
      </w:r>
      <w:r w:rsidR="00630EDF" w:rsidRP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лицо признается Участником Стимулирующего мероприятия и получает право на участие в розыгрыше Призового фонда</w:t>
      </w:r>
      <w:r w:rsidRP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32620" w:rsidRPr="00532620" w:rsidRDefault="0053262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DF" w:rsidRDefault="00630EDF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наступления любых неблагоприятных последствий связанных с внесением в анкету недостоверных данных и (или) иной информации несет Участник.</w:t>
      </w:r>
    </w:p>
    <w:p w:rsidR="00630EDF" w:rsidRDefault="00630EDF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DF" w:rsidRDefault="00630EDF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8.6. 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Участников (проверка персональных данных)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заключивших договор,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по фамилии, имени, о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заполнении 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 кассового чека и номеру к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упона, занесенным в программу регистрации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EDF" w:rsidRDefault="00630EDF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A3" w:rsidRPr="00542315" w:rsidRDefault="00630EDF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Порядок проведения розыгрыш</w:t>
      </w:r>
      <w:r w:rsidR="000B3D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а, алгоритм определения Победителей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E7BA3" w:rsidRPr="00542315" w:rsidRDefault="00630EDF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 Призов проводится с использованием Купонов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прозрачного ящика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определения выигрышного Купона, посредством смешивания Купонов вручную и извлечения </w:t>
      </w:r>
      <w:r w:rsidR="00D0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количества купонов, соответствующему количеству разыгрываемых в ходе розыгрыша Призов.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6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обладателем выигрышного Купона проводится 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(викторина)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003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D9003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которого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компетентной комиссией определяется</w:t>
      </w:r>
      <w:r w:rsidR="006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 проводится 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«25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2014 года, «1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 года, «8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  «15</w:t>
      </w:r>
      <w:r w:rsidR="008722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 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2015  года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39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«Столица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Российская Федерация, </w:t>
      </w:r>
      <w:r w:rsidR="007472AC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область, г. Котлас, ул. Мира, д. 18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72AC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у входа в ТРЦ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r w:rsidR="007472AC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  Лотерейное оборудование при проведении розыгрыша не используется.</w:t>
      </w:r>
    </w:p>
    <w:p w:rsidR="000E7BA3" w:rsidRPr="00542315" w:rsidRDefault="00872227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9.2. 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розыгрыша Призового фонда Стимулирующего мероприятия Организатором формируется </w:t>
      </w:r>
      <w:r w:rsidR="009E3592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компетентная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состоящая не менее чем из </w:t>
      </w:r>
      <w:r w:rsidR="009E3592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 членов (незаинтересованных, независимых лиц) определенных</w:t>
      </w:r>
      <w:r w:rsidR="00D9003B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случайным выбором из присутствующих на розыгрыше Призов.</w:t>
      </w:r>
    </w:p>
    <w:p w:rsidR="00872227" w:rsidRDefault="00872227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 функции </w:t>
      </w:r>
      <w:r w:rsidR="009E3592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входит: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розыгрыша Призового фонда Стимулирующего мероприятия;</w:t>
      </w:r>
    </w:p>
    <w:p w:rsidR="009E3592" w:rsidRPr="00542315" w:rsidRDefault="00872227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</w:t>
      </w:r>
      <w:r w:rsidR="00A9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="009E3592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по результатам 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(викторины);</w:t>
      </w:r>
    </w:p>
    <w:p w:rsidR="00872227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результатов проведения розыгрыша Призового Фонда путем подписания соответствующего акта (протокола) и официальной таблицы результатов</w:t>
      </w:r>
      <w:r w:rsidR="0087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872227" w:rsidP="0014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9.4. 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Призового фонда основан на принципе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случайного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Выигрыша, а именно:  Ведущий розыгрыша объявляет разыгрываемый приз, и путем выбора Купона  один из членов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(или иное не заинтересованное лицо по указанию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компетентной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Ведущего) без использования специального лотерейного оборудования  достает корешок Купона.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выигрышными Купонами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(викторина)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0D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3030D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3030D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компетентной комиссией определяется победитель.</w:t>
      </w:r>
      <w:r w:rsidR="0068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повторяется в количестве раз, соответствующему количеству разыгрываемых в ходе ро</w:t>
      </w:r>
      <w:r w:rsidR="006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зыгрыша Призов. Участники, чьи 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дентификационные данные нанесены на Купоны, </w:t>
      </w:r>
      <w:r w:rsidR="003030D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произведено</w:t>
      </w:r>
      <w:r w:rsidR="003030D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прозрачного ящика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оглашаются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членов</w:t>
      </w:r>
      <w:r w:rsidR="0068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Ведущим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признаются Победителями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Выигравший участник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(Победитель)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приглашается на сцену и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доку</w:t>
      </w:r>
      <w:r w:rsidR="006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мента, удостоверяющего личность и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части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выигравшего Купона. 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стимулирующего мероприятия осуществляется сверка всех необходимых данных Победителя с данными занесенными в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регистрации участников и победителю выдается соответствующий приз.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 документам, удостоверяющим личность, в соответствии с действующим законодательством Российской Федерации относятся: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Паспорт гражданина Российской Федерации;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и на территории Российской Федерации в случае, предусмотренном настоящим Федеральным законом (далее - заграничный паспорт);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Временное удостоверение личности гражданина Российской Федерации (форма N 2П) </w:t>
      </w:r>
      <w:hyperlink r:id="rId9" w:tgtFrame="_blank" w:history="1">
        <w:r w:rsidRPr="005423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выдается гражданину</w:t>
        </w:r>
      </w:hyperlink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паспортно-визовым подразделением органа внутренних дел до оформления нового паспорта на срок не более 2 месяцев;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Военный билет является документом, удостоверяющим личность солдат, матросов, сержантов и старшин, проходящих военную службу по призыву или контракту, а также курсантов военных образовательных учреждений профессионального образования на время их обучения.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дипломатический паспорт, служебный паспорт, а также паспорт моряка (удостоверение личности моряка).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Если Участник предъявил документ, удостоверяющий личность, данные в котором не соответствуют данным программы регистрации участников, он не может быть признан победителем и приз разыгрывается повторно.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     При отсутствии владельца выигравшего Купона в месте проведения розыгрыша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(викторины) в момент его вызова на сцену, к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упон признается выбывшем из розыгрыша, а приз разыгрывается повторно. Личное присутствие Участника при проведении розыгрыша обязательно.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9.6.       Участник вправе отказаться от приза. В таком случае, Организатор вправе распорядиться призом по своему усмотрению.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9.7.       </w:t>
      </w:r>
      <w:r w:rsidRPr="006A5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розыгрышах Призового фонда Стимулирующего мероприятия не участвуют: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9.7.1. Участники, совершившие действия, предусмотренные пунктом 8.4. настоящих Условий с нарушением сроков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пунктами 7.2.1., 7.2.2., 7.2.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настоящих Условий.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9.7.2. Участники, указавшие при заполнении регистрационной анкеты не все сведения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(заполнившие анкету не полностью)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участия в Стимулирующем мероприятии, а также указавшие недостоверные сведения.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9.7.3. Участники, не отвеч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требованиям установленным пунктами 8.1-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настоящих Условий и/или не со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вершившие все предусмотренные пунктом 8.4. у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  действия.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   Результат проведения </w:t>
      </w:r>
      <w:r w:rsidR="00E87BD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заносится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соответствующий акт (протокол) и официальную таблицу результатов проведения</w:t>
      </w:r>
      <w:r w:rsidR="00DA4E7C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подписывается всеми членами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  <w:r w:rsid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компетентной комиссии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розыгрыша не используются процедуры и алгоритмы, которые позволяют предопределить результат проведения розыгрыша Призового фонда до начала проведения розыгрыша. При проведении розыгрыша не используется лотерейное оборудование.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Итоги розыгрыша Призового фонда Стимулирующего мероприятия публикуются Организатором в средствах массовой информации.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Результаты проведения Стимулирующего мероприятия являются окончательными и не подлежат пересмотру.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Установленные призы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</w:p>
    <w:p w:rsidR="000B3D6A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A3" w:rsidRPr="00542315" w:rsidRDefault="0069400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10.     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r w:rsidR="000B3D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рядок и сроки получения Призов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  После проведения розыгрыша члены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сообщают выигравшему Участнику порядок и  условия 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приза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   Обладатели Призов, могут получить приз в день розыгрыша или в течение 7 (семи) календарных дней </w:t>
      </w:r>
      <w:proofErr w:type="gram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Стимулирующего мероприятия непосредственно в </w:t>
      </w:r>
      <w:r w:rsidR="0064289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«Столица, по адресу: Российская Федерация, Архангельская область, г. Котлас, ул. Мира, д. 18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10.3.   </w:t>
      </w:r>
      <w:r w:rsidRPr="0054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Победителю необходимо предъявить оригинал документа, удостоверяющего личность в соответствии с законодательством Российской Федерации, а также иные необходимые Организатору документы. Копии документов для удостоверения личности не принимаются.  Победитель обязан подписать предложенные Организатором документы для получения приза (договор дарения приза Организатором и  акт приемки приза от Организатора). Отказ от подписания таких документов означает отказ победителя Стимулирующего мероприятия от приза.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  Организатор не отвечает за какие-либо последствия ошибок Участника, включая (кроме всего прочего) понесенные последним затраты.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   Обязательства Организатора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качества призов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ограничены гарантиями, предоставленными их изготовителями (поставщиками). Претензии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качества призов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предъявляться непосредственно производителям (поставщикам) этих выигрышей. Целостность и функ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циональная пригодность призов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проверяться Участниками непоср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едственно при их получении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вид, комп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лектация  оригинальных призов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отличаться от их изображения в рекламных материалах.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   С момента получения Призов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н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есут риск их случайной 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порчи и (или) гибели, а также ответственность за наступление любых неблагоприятных последствий связанных с их использованием и (или) эксплуатацией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6A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A3" w:rsidRPr="00542315" w:rsidRDefault="00356A9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11.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Права и обязанности Участника  Стимулирующего мероприятия</w:t>
      </w:r>
      <w:r w:rsidR="00E87BDE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1C6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Удачные покупки</w:t>
      </w:r>
      <w:r w:rsidR="00E87BDE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0B3D6A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  Участник Стимулирующего мероприятия имеет право 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E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и необходимой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="000B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проведения Стимулирующего мероприятия,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 его проведения.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  Участник Стимулирующего мероприятия имеет право на участие в розыгрыше Призового фонда Стимулирующего мероприятия в порядке, предусмотренном настоящими Условиями.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11.3.   </w:t>
      </w:r>
      <w:r w:rsidR="00E87BD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розыгрыша,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Стимулирующего мероприятия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признанный Победителем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требовать пере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или предоставления приза</w:t>
      </w:r>
      <w:r w:rsidR="00E87BDE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</w:t>
      </w:r>
      <w:proofErr w:type="gramStart"/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настоящими условиями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11.4.   </w:t>
      </w:r>
      <w:proofErr w:type="gram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может передавать и/или любым иным образом уступать свои права, связанные с участием в Стимулирующего мероприятии, третьему лицу (лицам), в том числе и по нотариально удостоверенной доверенности.</w:t>
      </w:r>
      <w:proofErr w:type="gramEnd"/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   Победитель Стимулирующего мероприятия не имеет права требовать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 компенсации за причитающийся ему приз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    Каждый Участник Стимулирующего мероприятия вправе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отказаться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участия в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</w:t>
      </w:r>
    </w:p>
    <w:p w:rsidR="000E7BA3" w:rsidRPr="00542315" w:rsidRDefault="00356A9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11.7.   Для получения приза Победитель обязан в порядке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настоящими условиями предоставить Организатору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документы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обязательную информацию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11.8.   </w:t>
      </w:r>
      <w:proofErr w:type="gramStart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Стимулирующем мероприятии, Участник</w:t>
      </w:r>
      <w:r w:rsidR="0030753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</w:t>
      </w:r>
      <w:r w:rsidR="0030753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соглаша</w:t>
      </w:r>
      <w:r w:rsidR="00307534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тем, что любая добровольно предоставленная ими информация, в том числе их персональные данные, может быть использована Организатором, его уполномоченными представителями и/или рекламными агентствами, в том числе, в рекламных целях и/или при проведении стимулирующих и иных мероприятий Организатора, без получения какого-либо дополнительного согласия участников и без уплаты им какого-либо вознаграждения</w:t>
      </w:r>
      <w:proofErr w:type="gramEnd"/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это. Все права на публикации интервью участников, на публикации съемок участников для рекламных материалов принадлежат Организатору Стимулирующего мероприятия.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11.9.   Факт участия в Стимулирующем мероприятии подразумевает, что ее Участники ознакомлены и согласны с настоящими Условиями</w:t>
      </w:r>
      <w:r w:rsidR="00DA4E7C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принимают на себя соответствующие обязательства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1C6E6F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11.10. </w:t>
      </w:r>
      <w:proofErr w:type="gramStart"/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 Победители Стимулирующего мероприятия самостоятельно оплачивают все расходы, понесенные ими в связи с участием в Стимулирующе</w:t>
      </w:r>
      <w:r w:rsidR="009A0A0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 (в том числе,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исключительно,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ограничений, расходы, связанные с государственной регистрацией и с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трахованием полученного приза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тех расходов, которые прямо указаны в настоящих Условиях, как расходы, производимые за счет Организатора.</w:t>
      </w:r>
      <w:proofErr w:type="gramEnd"/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       Победители Стимулирующего мероприятия самостоятельно оплачивают налог на доходы физических лиц по ставке 35% (Тридцать пять процентов) с облагаемой налогом суммы выигрыша для перечисления его в бюджет в соответствии с налоговым законодательством Российской Федерации.</w:t>
      </w:r>
    </w:p>
    <w:p w:rsidR="00FF0B10" w:rsidRPr="00542315" w:rsidRDefault="00FF0B1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620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      В соответствии с требованием действующего законодательства Российской Федерации Организатор выступает налоговым агентом в отношении выдаваемых Участникам Стимулирующего мероприятия призов, стоимость которых превышает 4 000 (Четыре тысячи) рублей, предоставляет в налоговые органы сведения о доходах физических лиц, полученных Участниками в связи с передачей им призов.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 w:rsidR="00FF0B1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Победители Стимулирующего мероприятия самостоятельно и за свой счет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забирают, 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вывозят призы, полученные 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Стимулирующего мероприятия.</w:t>
      </w:r>
    </w:p>
    <w:p w:rsidR="00356A90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12.         Права и обязанности Организатора  Стимулирующего мероприятия</w:t>
      </w:r>
      <w:r w:rsidR="00D158CA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1C6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Удачные покупки</w:t>
      </w:r>
      <w:r w:rsidR="00D158CA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E7BA3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34DC0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Организатор име</w:t>
      </w:r>
      <w:r w:rsidR="00D158C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требовать от Участника соблюдения настоящих Условий Стимулирующего мероприятия.</w:t>
      </w:r>
    </w:p>
    <w:p w:rsidR="000E7BA3" w:rsidRPr="00542315" w:rsidRDefault="00134D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12.2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Организатор обязан провести розыгрыш</w:t>
      </w:r>
      <w:r w:rsidR="00A47625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ризового фонда и выдать призы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Стимулирующего мероприятия в сроки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насто</w:t>
      </w:r>
      <w:r w:rsidR="00356A9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ящими Условиями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134D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12.3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Организатор оставля</w:t>
      </w:r>
      <w:r w:rsidR="00D158CA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собой право не вступать в письменные переговоры либо иные контакты с участниками Стимулирующего мероприятия — кроме случаев, указанных в настоящих Условиях или соответствующих требованиям действующего законодательства Российской Федерации.</w:t>
      </w:r>
    </w:p>
    <w:p w:rsidR="000E7BA3" w:rsidRPr="00542315" w:rsidRDefault="00134D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gramStart"/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Стимулирующего мероприятия  в течение пяти лет обязан хранить протоколы </w:t>
      </w:r>
      <w:r w:rsidR="00B64AB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Компетентной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документы о передаче или предоставлении выигрышей Участникам, признанным выигравшими.</w:t>
      </w:r>
      <w:proofErr w:type="gramEnd"/>
    </w:p>
    <w:p w:rsidR="000E7BA3" w:rsidRPr="00542315" w:rsidRDefault="00134D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12.5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Организатор Стимулирующего мероприятия, а также уполномоченные им лица не несут ответственности за неполучение от Участников сведений, необходимых для </w:t>
      </w:r>
      <w:r w:rsidR="006F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приза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вине организаций связи или по иным, не зависящим от Организатора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причинам, а также за неисполнение (несвоевременное исполнение) Участниками обязанностей, предусмотренных настоящими Условиями.</w:t>
      </w:r>
    </w:p>
    <w:p w:rsidR="000E7BA3" w:rsidRPr="00542315" w:rsidRDefault="00134D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12.6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Во всем, что не предусмотрено настоящими Условиями, Организатор и Участники Стимулирующего мероприятия руководствуются действующим законодательством Российской Федерации.</w:t>
      </w:r>
    </w:p>
    <w:p w:rsidR="00542315" w:rsidRPr="00542315" w:rsidRDefault="000E7BA3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13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6940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Порядок хранения невостребованных выигрышей и их востребование по истечению сроков получения выигрышей Стимулирующего мероприятия </w:t>
      </w:r>
      <w:r w:rsidR="00EE4DEF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881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Удачные</w:t>
      </w:r>
      <w:r w:rsidR="001C6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покупк</w:t>
      </w:r>
      <w:r w:rsidR="00881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="00EE4DEF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действующее законодательство Российской Федерации не устанавливает возможности или обязанности организаторов Стимулирующего мероприятия по хранению невостребованных выигрышей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регламентирует порядок их ис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участниками стимулирующих мероприятий по истечении сроков для получения выигрышей в стимулирующих мероприятиях, порядок хранения невостребо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выигрышей и порядок их 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стребования по истечении сроков получения выигрышей организатором не предусматриваются и не устанавливаются.</w:t>
      </w:r>
      <w:proofErr w:type="gramEnd"/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 истечению сроков получения выигрышей, невостребованные выигрыши не хранятся, не выдаются и используются Организатором Стимулирующего мероприятия по собственному усмотрению.</w:t>
      </w:r>
    </w:p>
    <w:p w:rsidR="006F1BC0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1C6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Согласие участника стимулирующего мероприятия на обработку его персональных данных, перечень персональных данных участника стимулирующего мероприятия, обработка которых будет осуществляться организатором стимулирующего мероприятия,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</w:t>
      </w:r>
      <w:proofErr w:type="gramEnd"/>
      <w:r w:rsidR="000E7BA3" w:rsidRPr="005423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персональных данных участника стимулирующего мероприятия:</w:t>
      </w:r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  Факт заполнения и подписания Участником Стимулирующего мероприятия регистрационной Анкеты на участие в Стимулирующем мероприятии является согласием Участника Стимулирующего мероприятия на обработку его персональных данных Организатором в целях проведения настоящего Стимулирующего мероприятия  в соответствии с настоящими Условиями и последующих стимулирующих и иных мероприятий Организатора в соответствии с их условиями.</w:t>
      </w:r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   Цель обработки персональных данных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лица их предоставившего в проведении Стимулирующего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гарантирование соблюдения его прав в соответствии с настоящими условиями.</w:t>
      </w:r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   Перечень персональных данных, которые предоставляются Участником и обрабатываются Организатором, установлен и ограничивается </w:t>
      </w:r>
      <w:r w:rsidR="00EE4DE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анкетой –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</w:t>
      </w:r>
      <w:r w:rsidR="00EE4DEF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90500D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неотъемлемой частью настоящий условий.</w:t>
      </w:r>
    </w:p>
    <w:p w:rsidR="000E7BA3" w:rsidRPr="00542315" w:rsidRDefault="006F1BC0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Перечень действий с предоставляемыми Участниками Стимулирующего   мероприятия персональными данными: сбор, систематизация, накопление, хранение, использование в установленных Условиями целях (в том числе в целях индивидуального общения с Участником Стимулирующего   мероприятия), оглашение и размещение на сайте Организатора результатов Стимулирующего   мероприятия, удаление, уничтожение.</w:t>
      </w:r>
    </w:p>
    <w:p w:rsidR="000E7BA3" w:rsidRPr="00542315" w:rsidRDefault="00BB0E44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.5.  Организатор не вправе предоставлять информацию об Участниках и Победителях Стимулирующего   мероприятия третьим лицам, за исключением случаев, предусмотренных настоящими Условиями и законодательством Российской Федерации.</w:t>
      </w:r>
    </w:p>
    <w:p w:rsidR="000E7BA3" w:rsidRPr="00542315" w:rsidRDefault="00BB0E44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Организатор Стимулирующего мероприятия имеет право использовать, разглашать персональные данные участника Стимулирующего   мероприятия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случаев установленных настоящими условиями и положениями действующего законодательства РФ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A3" w:rsidRPr="00542315" w:rsidRDefault="00BB0E44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Трансграничная передача персональных данных в рамках проведения Стимулирующего   мероприятия не осуществляется.</w:t>
      </w:r>
    </w:p>
    <w:p w:rsidR="000E7BA3" w:rsidRPr="00542315" w:rsidRDefault="00BB0E44" w:rsidP="0054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Организатор организует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в срок проведения настоящего Стимулирующего   мероприятия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отзыва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тником Стимулирующего </w:t>
      </w:r>
      <w:r w:rsidR="000E7BA3" w:rsidRPr="005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своих персональных данных, оформленного в письменном порядке.</w:t>
      </w:r>
    </w:p>
    <w:p w:rsidR="00323908" w:rsidRPr="00542315" w:rsidRDefault="00323908" w:rsidP="00542315">
      <w:pPr>
        <w:jc w:val="both"/>
      </w:pPr>
    </w:p>
    <w:p w:rsidR="00307534" w:rsidRPr="00542315" w:rsidRDefault="00307534" w:rsidP="00542315">
      <w:pPr>
        <w:jc w:val="both"/>
      </w:pPr>
    </w:p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307534" w:rsidRDefault="00307534"/>
    <w:p w:rsidR="00BB0E44" w:rsidRDefault="00BB0E44"/>
    <w:p w:rsidR="00BB0E44" w:rsidRDefault="00BB0E44"/>
    <w:p w:rsidR="00BB0E44" w:rsidRDefault="00BB0E44"/>
    <w:p w:rsidR="00EE4DEF" w:rsidRDefault="00EE4DEF"/>
    <w:p w:rsidR="00EE4DEF" w:rsidRDefault="00EE4DEF"/>
    <w:p w:rsidR="00307534" w:rsidRPr="00BB0E44" w:rsidRDefault="00307534" w:rsidP="00EE4DE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E4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BB0E44" w:rsidRDefault="00EE4DEF" w:rsidP="0069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44">
        <w:rPr>
          <w:rFonts w:ascii="Times New Roman" w:hAnsi="Times New Roman" w:cs="Times New Roman"/>
          <w:b/>
          <w:sz w:val="28"/>
          <w:szCs w:val="28"/>
        </w:rPr>
        <w:t>Призовой фонд Стимулирующего мероприятия</w:t>
      </w:r>
    </w:p>
    <w:p w:rsidR="00EE4DEF" w:rsidRPr="00BB0E44" w:rsidRDefault="00881B57" w:rsidP="00694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«Удачные покупки</w:t>
      </w:r>
      <w:r w:rsidR="00EE4DEF" w:rsidRPr="00BB0E44">
        <w:rPr>
          <w:rFonts w:ascii="Times New Roman" w:hAnsi="Times New Roman" w:cs="Times New Roman"/>
          <w:b/>
          <w:sz w:val="28"/>
          <w:szCs w:val="28"/>
        </w:rPr>
        <w:t>»</w:t>
      </w:r>
    </w:p>
    <w:p w:rsidR="00EE4DEF" w:rsidRPr="00881B57" w:rsidRDefault="00EE4DEF" w:rsidP="006940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6640"/>
        <w:gridCol w:w="1455"/>
      </w:tblGrid>
      <w:tr w:rsidR="00694000" w:rsidRPr="00BB0E44" w:rsidTr="006D7685">
        <w:trPr>
          <w:trHeight w:val="315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приза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B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44">
              <w:rPr>
                <w:rFonts w:ascii="Times New Roman" w:hAnsi="Times New Roman" w:cs="Times New Roman"/>
                <w:sz w:val="24"/>
                <w:szCs w:val="24"/>
              </w:rPr>
              <w:t xml:space="preserve">Скутер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Чайник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Автохолодильник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Сумка холодильник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бадминтона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Pr="00BB0E44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постельного белья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000" w:rsidRPr="00BB0E44" w:rsidTr="006D768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Default="00694000" w:rsidP="006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ортопедическая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00" w:rsidRDefault="00694000" w:rsidP="006D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1789" w:rsidRPr="00BB0E44" w:rsidRDefault="00361789">
      <w:pPr>
        <w:rPr>
          <w:rFonts w:ascii="Times New Roman" w:hAnsi="Times New Roman" w:cs="Times New Roman"/>
          <w:sz w:val="24"/>
          <w:szCs w:val="24"/>
        </w:rPr>
      </w:pPr>
    </w:p>
    <w:p w:rsidR="00EE4DEF" w:rsidRPr="00BB0E44" w:rsidRDefault="00EE4DEF">
      <w:pPr>
        <w:rPr>
          <w:rFonts w:ascii="Times New Roman" w:hAnsi="Times New Roman" w:cs="Times New Roman"/>
          <w:sz w:val="24"/>
          <w:szCs w:val="24"/>
        </w:rPr>
      </w:pPr>
    </w:p>
    <w:p w:rsidR="00EE4DEF" w:rsidRPr="00BB0E44" w:rsidRDefault="00EE4DEF">
      <w:pPr>
        <w:rPr>
          <w:rFonts w:ascii="Times New Roman" w:hAnsi="Times New Roman" w:cs="Times New Roman"/>
          <w:sz w:val="24"/>
          <w:szCs w:val="24"/>
        </w:rPr>
      </w:pPr>
    </w:p>
    <w:p w:rsidR="00236191" w:rsidRDefault="00236191" w:rsidP="00881B57">
      <w:pPr>
        <w:tabs>
          <w:tab w:val="left" w:pos="3855"/>
        </w:tabs>
      </w:pPr>
    </w:p>
    <w:p w:rsidR="00881B57" w:rsidRDefault="00881B57" w:rsidP="00881B57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1E2541" w:rsidRDefault="001E2541" w:rsidP="00277F80">
      <w:pPr>
        <w:jc w:val="right"/>
        <w:rPr>
          <w:b/>
          <w:i/>
          <w:sz w:val="24"/>
          <w:szCs w:val="24"/>
        </w:rPr>
      </w:pPr>
    </w:p>
    <w:p w:rsidR="00277F80" w:rsidRPr="00694000" w:rsidRDefault="00277F80" w:rsidP="003164B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horzAnchor="margin" w:tblpXSpec="center" w:tblpY="750"/>
        <w:tblW w:w="10065" w:type="dxa"/>
        <w:tblLook w:val="04A0" w:firstRow="1" w:lastRow="0" w:firstColumn="1" w:lastColumn="0" w:noHBand="0" w:noVBand="1"/>
      </w:tblPr>
      <w:tblGrid>
        <w:gridCol w:w="601"/>
        <w:gridCol w:w="1809"/>
        <w:gridCol w:w="142"/>
        <w:gridCol w:w="2092"/>
        <w:gridCol w:w="460"/>
        <w:gridCol w:w="1559"/>
        <w:gridCol w:w="108"/>
        <w:gridCol w:w="742"/>
        <w:gridCol w:w="392"/>
        <w:gridCol w:w="2018"/>
        <w:gridCol w:w="142"/>
      </w:tblGrid>
      <w:tr w:rsidR="00277F80" w:rsidRPr="00BE1233" w:rsidTr="003164BF">
        <w:trPr>
          <w:gridBefore w:val="1"/>
          <w:gridAfter w:val="5"/>
          <w:wBefore w:w="601" w:type="dxa"/>
          <w:wAfter w:w="3402" w:type="dxa"/>
        </w:trPr>
        <w:tc>
          <w:tcPr>
            <w:tcW w:w="6062" w:type="dxa"/>
            <w:gridSpan w:val="5"/>
          </w:tcPr>
          <w:p w:rsidR="00277F80" w:rsidRPr="003164BF" w:rsidRDefault="00277F80" w:rsidP="003164BF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3164BF">
              <w:rPr>
                <w:b/>
                <w:color w:val="000000" w:themeColor="text1"/>
                <w:sz w:val="24"/>
                <w:szCs w:val="24"/>
              </w:rPr>
              <w:lastRenderedPageBreak/>
              <w:t>Анкета – договор Участника стимулирующего мероприятия «</w:t>
            </w:r>
            <w:r w:rsidR="00881B57" w:rsidRPr="003164BF">
              <w:rPr>
                <w:b/>
                <w:color w:val="000000" w:themeColor="text1"/>
                <w:sz w:val="24"/>
                <w:szCs w:val="24"/>
              </w:rPr>
              <w:t>Удачные покупки</w:t>
            </w:r>
            <w:r w:rsidRPr="003164BF">
              <w:rPr>
                <w:b/>
                <w:color w:val="000000" w:themeColor="text1"/>
                <w:sz w:val="24"/>
                <w:szCs w:val="24"/>
              </w:rPr>
              <w:t>».</w:t>
            </w:r>
          </w:p>
          <w:p w:rsidR="00277F80" w:rsidRPr="00BE1233" w:rsidRDefault="00277F80" w:rsidP="003164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77F80" w:rsidRPr="00481CBB" w:rsidTr="00316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5"/>
          <w:gridAfter w:val="1"/>
          <w:wBefore w:w="5104" w:type="dxa"/>
          <w:wAfter w:w="142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2410" w:type="dxa"/>
            <w:gridSpan w:val="2"/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1. Анкетные данные</w:t>
            </w:r>
          </w:p>
        </w:tc>
      </w:tr>
      <w:tr w:rsidR="00277F80" w:rsidRPr="00481CBB" w:rsidTr="003164BF">
        <w:trPr>
          <w:trHeight w:val="162"/>
        </w:trPr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77F80" w:rsidRPr="00481CBB" w:rsidTr="003164BF"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77F80" w:rsidRPr="00481CBB" w:rsidTr="003164BF"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277F80" w:rsidRPr="003F4BC3" w:rsidRDefault="00277F80" w:rsidP="003164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81CBB">
              <w:rPr>
                <w:sz w:val="20"/>
                <w:szCs w:val="20"/>
              </w:rPr>
              <w:t>Адрес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77F80" w:rsidRPr="00481CBB" w:rsidTr="003164BF">
        <w:tc>
          <w:tcPr>
            <w:tcW w:w="2410" w:type="dxa"/>
            <w:gridSpan w:val="2"/>
            <w:tcBorders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77F80" w:rsidRPr="00481CBB" w:rsidTr="003164BF">
        <w:tc>
          <w:tcPr>
            <w:tcW w:w="4644" w:type="dxa"/>
            <w:gridSpan w:val="4"/>
            <w:tcBorders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Номер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77F80" w:rsidRPr="00481CBB" w:rsidTr="003164BF">
        <w:tc>
          <w:tcPr>
            <w:tcW w:w="2552" w:type="dxa"/>
            <w:gridSpan w:val="3"/>
            <w:tcBorders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481CBB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77F80" w:rsidRPr="00481CBB" w:rsidTr="003164BF">
        <w:tc>
          <w:tcPr>
            <w:tcW w:w="2552" w:type="dxa"/>
            <w:gridSpan w:val="3"/>
            <w:tcBorders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2552" w:type="dxa"/>
            <w:gridSpan w:val="3"/>
            <w:tcBorders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2552" w:type="dxa"/>
            <w:gridSpan w:val="3"/>
            <w:tcBorders>
              <w:right w:val="single" w:sz="4" w:space="0" w:color="000000"/>
            </w:tcBorders>
          </w:tcPr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2552" w:type="dxa"/>
            <w:gridSpan w:val="3"/>
            <w:tcBorders>
              <w:right w:val="single" w:sz="4" w:space="0" w:color="000000"/>
            </w:tcBorders>
          </w:tcPr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2552" w:type="dxa"/>
            <w:gridSpan w:val="3"/>
            <w:tcBorders>
              <w:right w:val="single" w:sz="4" w:space="0" w:color="000000"/>
            </w:tcBorders>
          </w:tcPr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77F80" w:rsidRPr="00B24493" w:rsidTr="003164BF">
        <w:trPr>
          <w:trHeight w:val="5661"/>
        </w:trPr>
        <w:tc>
          <w:tcPr>
            <w:tcW w:w="10065" w:type="dxa"/>
            <w:gridSpan w:val="11"/>
          </w:tcPr>
          <w:p w:rsidR="00277F80" w:rsidRDefault="00277F80" w:rsidP="003164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2. Согласие на получение информации по каналам связи</w:t>
            </w:r>
          </w:p>
          <w:p w:rsidR="00277F80" w:rsidRDefault="00277F80" w:rsidP="003164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A309B">
              <w:rPr>
                <w:sz w:val="20"/>
                <w:szCs w:val="20"/>
              </w:rPr>
              <w:t>Я хочу получать информацию об услугах в виде смс-сообщений на указанный выше номер телефона</w:t>
            </w:r>
            <w:r>
              <w:rPr>
                <w:sz w:val="20"/>
                <w:szCs w:val="20"/>
              </w:rPr>
              <w:t xml:space="preserve"> и электронный адрес указанный выше.</w:t>
            </w:r>
          </w:p>
          <w:p w:rsidR="00277F80" w:rsidRDefault="00277F80" w:rsidP="003164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277F80" w:rsidRDefault="00277F80" w:rsidP="003164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3. Согласие на обработку персональных данных</w:t>
            </w:r>
          </w:p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даю своё согласие </w:t>
            </w:r>
            <w:r w:rsidRPr="000A309B">
              <w:rPr>
                <w:sz w:val="20"/>
                <w:szCs w:val="20"/>
              </w:rPr>
              <w:t>на обработку персональных данных, содержащихся в настоящей анкете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 Срок действия согласия (если предоставлено): до истечения шести месяцев с момента отзыва пользователем согласия от получения соответствующей информации.</w:t>
            </w:r>
          </w:p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  <w:p w:rsidR="00277F80" w:rsidRPr="00481CBB" w:rsidRDefault="00277F80" w:rsidP="003164BF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 xml:space="preserve">4. Порядок отзыва согласия на обработку персональных данных: </w:t>
            </w:r>
          </w:p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B24493">
              <w:rPr>
                <w:sz w:val="20"/>
                <w:szCs w:val="20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[наименование компании]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  <w:p w:rsidR="00277F80" w:rsidRDefault="00277F80" w:rsidP="003164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481CBB">
              <w:rPr>
                <w:b/>
                <w:sz w:val="20"/>
                <w:szCs w:val="20"/>
                <w:u w:val="single"/>
              </w:rPr>
              <w:t>подтверждаю</w:t>
            </w:r>
            <w:proofErr w:type="gramEnd"/>
            <w:r w:rsidRPr="00481CBB">
              <w:rPr>
                <w:b/>
                <w:sz w:val="20"/>
                <w:szCs w:val="20"/>
                <w:u w:val="single"/>
              </w:rPr>
              <w:t xml:space="preserve"> что указанный выше номер является моим номером телефона</w:t>
            </w:r>
            <w:r w:rsidRPr="003F4BC3">
              <w:rPr>
                <w:b/>
                <w:sz w:val="20"/>
                <w:szCs w:val="20"/>
                <w:u w:val="single"/>
              </w:rPr>
              <w:t>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выделенным мне оператором сотовой связи</w:t>
            </w:r>
            <w:r w:rsidRPr="003F4BC3">
              <w:rPr>
                <w:b/>
                <w:sz w:val="20"/>
                <w:szCs w:val="20"/>
                <w:u w:val="single"/>
              </w:rPr>
              <w:t>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  <w:p w:rsidR="00A64B33" w:rsidRDefault="00A64B33" w:rsidP="003164B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64B33" w:rsidRPr="00A64B33" w:rsidRDefault="00A64B33" w:rsidP="003164BF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A64B33">
              <w:rPr>
                <w:b/>
                <w:sz w:val="16"/>
                <w:szCs w:val="16"/>
                <w:u w:val="single"/>
              </w:rPr>
              <w:t>Представленная Вами информация не подлежит передаче третьим лицам и является конфиденциальной! Отправляя заявку, Вы даёте своё согласие на обработку Ваших персональных данных согласно Федеральному закону РФ №152-ФЗ "О персональных данных".</w:t>
            </w:r>
          </w:p>
          <w:p w:rsidR="00277F80" w:rsidRPr="00B24493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529"/>
        </w:trPr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CBB">
              <w:rPr>
                <w:b/>
                <w:sz w:val="20"/>
                <w:szCs w:val="20"/>
              </w:rPr>
              <w:t>Заполняется ответственным сотрудником [</w:t>
            </w:r>
            <w:r>
              <w:rPr>
                <w:b/>
                <w:sz w:val="20"/>
                <w:szCs w:val="20"/>
              </w:rPr>
              <w:t>ИП Звягин С.В.</w:t>
            </w:r>
            <w:r w:rsidRPr="00481CBB">
              <w:rPr>
                <w:b/>
                <w:sz w:val="20"/>
                <w:szCs w:val="20"/>
              </w:rPr>
              <w:t>]:</w:t>
            </w:r>
          </w:p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личность лица, указанного выше, мной проверена. Подпись поставлена в моем присутствии.</w:t>
            </w:r>
          </w:p>
          <w:p w:rsidR="00277F80" w:rsidRPr="00481CBB" w:rsidRDefault="00277F80" w:rsidP="003164BF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277F80" w:rsidRPr="00481CBB" w:rsidRDefault="00277F80" w:rsidP="003164BF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ab/>
              <w:t>(подпись)</w:t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  <w:t>(Ф.И.О. сотрудника и должность)</w:t>
            </w:r>
          </w:p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7F80" w:rsidRPr="00481CBB" w:rsidTr="003164B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26"/>
        </w:trPr>
        <w:tc>
          <w:tcPr>
            <w:tcW w:w="10065" w:type="dxa"/>
            <w:gridSpan w:val="11"/>
          </w:tcPr>
          <w:p w:rsidR="00277F80" w:rsidRPr="00481CBB" w:rsidRDefault="00277F80" w:rsidP="003164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81CBB">
              <w:rPr>
                <w:b/>
                <w:sz w:val="20"/>
                <w:szCs w:val="20"/>
              </w:rPr>
              <w:t xml:space="preserve">Заполняется </w:t>
            </w:r>
            <w:r>
              <w:rPr>
                <w:b/>
                <w:sz w:val="20"/>
                <w:szCs w:val="20"/>
              </w:rPr>
              <w:t>Участником</w:t>
            </w:r>
            <w:r w:rsidRPr="00B24493">
              <w:rPr>
                <w:b/>
                <w:sz w:val="20"/>
                <w:szCs w:val="20"/>
              </w:rPr>
              <w:t xml:space="preserve"> стимулирующего мероприятия «</w:t>
            </w:r>
            <w:r w:rsidR="00881B57">
              <w:rPr>
                <w:b/>
                <w:sz w:val="20"/>
                <w:szCs w:val="20"/>
              </w:rPr>
              <w:t>Удачные покупки</w:t>
            </w:r>
            <w:r w:rsidRPr="00B24493">
              <w:rPr>
                <w:b/>
                <w:sz w:val="20"/>
                <w:szCs w:val="20"/>
              </w:rPr>
              <w:t>»</w:t>
            </w:r>
            <w:r w:rsidRPr="00481CBB">
              <w:rPr>
                <w:b/>
                <w:sz w:val="20"/>
                <w:szCs w:val="20"/>
              </w:rPr>
              <w:t>:</w:t>
            </w:r>
          </w:p>
          <w:p w:rsidR="00277F80" w:rsidRPr="00481CBB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B24493">
              <w:rPr>
                <w:sz w:val="20"/>
                <w:szCs w:val="20"/>
              </w:rPr>
              <w:t>я ознакомился с правилами акции и подтверждаю своё согласие с их условиями</w:t>
            </w:r>
            <w:r w:rsidRPr="00481CBB">
              <w:rPr>
                <w:sz w:val="20"/>
                <w:szCs w:val="20"/>
              </w:rPr>
              <w:t>. Подпись поставлена в присутствии</w:t>
            </w:r>
            <w:r>
              <w:rPr>
                <w:sz w:val="20"/>
                <w:szCs w:val="20"/>
              </w:rPr>
              <w:t xml:space="preserve"> представителя организатора акции</w:t>
            </w:r>
            <w:r w:rsidRPr="00481CBB">
              <w:rPr>
                <w:sz w:val="20"/>
                <w:szCs w:val="20"/>
              </w:rPr>
              <w:t>.</w:t>
            </w:r>
          </w:p>
          <w:p w:rsidR="00277F80" w:rsidRPr="00481CBB" w:rsidRDefault="00277F80" w:rsidP="003164BF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277F80" w:rsidRPr="00481CBB" w:rsidRDefault="00277F80" w:rsidP="003164BF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277F80" w:rsidRDefault="00277F80" w:rsidP="003164BF">
            <w:pPr>
              <w:spacing w:after="0" w:line="240" w:lineRule="auto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ab/>
              <w:t>(подпись)</w:t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  <w:t>(Ф.И.О.</w:t>
            </w:r>
            <w:r w:rsidR="00A64B33">
              <w:rPr>
                <w:sz w:val="20"/>
                <w:szCs w:val="20"/>
              </w:rPr>
              <w:t xml:space="preserve"> участника стимулирующего мероприятия</w:t>
            </w:r>
            <w:r w:rsidRPr="00481CBB">
              <w:rPr>
                <w:sz w:val="20"/>
                <w:szCs w:val="20"/>
              </w:rPr>
              <w:t>)</w:t>
            </w:r>
          </w:p>
          <w:p w:rsidR="00881B57" w:rsidRPr="00481CBB" w:rsidRDefault="00881B57" w:rsidP="00316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81B57" w:rsidRPr="003164BF" w:rsidRDefault="003164BF" w:rsidP="003164BF">
      <w:pPr>
        <w:tabs>
          <w:tab w:val="left" w:pos="1200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164BF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sectPr w:rsidR="00881B57" w:rsidRPr="003164BF" w:rsidSect="00A64B33">
      <w:footerReference w:type="default" r:id="rId10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3" w:rsidRDefault="000E0BC3" w:rsidP="004E0B72">
      <w:pPr>
        <w:spacing w:after="0" w:line="240" w:lineRule="auto"/>
      </w:pPr>
      <w:r>
        <w:separator/>
      </w:r>
    </w:p>
  </w:endnote>
  <w:endnote w:type="continuationSeparator" w:id="0">
    <w:p w:rsidR="000E0BC3" w:rsidRDefault="000E0BC3" w:rsidP="004E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40778"/>
      <w:docPartObj>
        <w:docPartGallery w:val="Page Numbers (Bottom of Page)"/>
        <w:docPartUnique/>
      </w:docPartObj>
    </w:sdtPr>
    <w:sdtEndPr/>
    <w:sdtContent>
      <w:p w:rsidR="000B3D6A" w:rsidRDefault="000D254A">
        <w:pPr>
          <w:pStyle w:val="a5"/>
          <w:jc w:val="right"/>
        </w:pPr>
        <w:r>
          <w:fldChar w:fldCharType="begin"/>
        </w:r>
        <w:r w:rsidR="00E77B77">
          <w:instrText>PAGE   \* MERGEFORMAT</w:instrText>
        </w:r>
        <w:r>
          <w:fldChar w:fldCharType="separate"/>
        </w:r>
        <w:r w:rsidR="00316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D6A" w:rsidRDefault="000B3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3" w:rsidRDefault="000E0BC3" w:rsidP="004E0B72">
      <w:pPr>
        <w:spacing w:after="0" w:line="240" w:lineRule="auto"/>
      </w:pPr>
      <w:r>
        <w:separator/>
      </w:r>
    </w:p>
  </w:footnote>
  <w:footnote w:type="continuationSeparator" w:id="0">
    <w:p w:rsidR="000E0BC3" w:rsidRDefault="000E0BC3" w:rsidP="004E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5E"/>
    <w:multiLevelType w:val="multilevel"/>
    <w:tmpl w:val="9232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D10C3"/>
    <w:multiLevelType w:val="multilevel"/>
    <w:tmpl w:val="5600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0BB5"/>
    <w:multiLevelType w:val="multilevel"/>
    <w:tmpl w:val="8554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4673"/>
    <w:multiLevelType w:val="multilevel"/>
    <w:tmpl w:val="C884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C6033"/>
    <w:multiLevelType w:val="multilevel"/>
    <w:tmpl w:val="B122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A67E8"/>
    <w:multiLevelType w:val="multilevel"/>
    <w:tmpl w:val="F10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A36D6"/>
    <w:multiLevelType w:val="multilevel"/>
    <w:tmpl w:val="E01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B2C"/>
    <w:multiLevelType w:val="multilevel"/>
    <w:tmpl w:val="CF64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543E5"/>
    <w:multiLevelType w:val="multilevel"/>
    <w:tmpl w:val="C20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70209"/>
    <w:multiLevelType w:val="multilevel"/>
    <w:tmpl w:val="6BA4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A2001"/>
    <w:multiLevelType w:val="multilevel"/>
    <w:tmpl w:val="10A6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77BF0"/>
    <w:multiLevelType w:val="multilevel"/>
    <w:tmpl w:val="F73A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2129B"/>
    <w:multiLevelType w:val="multilevel"/>
    <w:tmpl w:val="F80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F35A8"/>
    <w:multiLevelType w:val="multilevel"/>
    <w:tmpl w:val="5C44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3"/>
    <w:rsid w:val="00080247"/>
    <w:rsid w:val="000B3D6A"/>
    <w:rsid w:val="000B777A"/>
    <w:rsid w:val="000D254A"/>
    <w:rsid w:val="000D7D54"/>
    <w:rsid w:val="000E0BC3"/>
    <w:rsid w:val="000E7BA3"/>
    <w:rsid w:val="000F7134"/>
    <w:rsid w:val="00112A3A"/>
    <w:rsid w:val="00123025"/>
    <w:rsid w:val="00134DC0"/>
    <w:rsid w:val="00142685"/>
    <w:rsid w:val="001C6E6F"/>
    <w:rsid w:val="001E2541"/>
    <w:rsid w:val="00236191"/>
    <w:rsid w:val="00277F80"/>
    <w:rsid w:val="002A0E35"/>
    <w:rsid w:val="002E46DA"/>
    <w:rsid w:val="002F09AE"/>
    <w:rsid w:val="003030DF"/>
    <w:rsid w:val="00307534"/>
    <w:rsid w:val="003164BF"/>
    <w:rsid w:val="00323908"/>
    <w:rsid w:val="00356A90"/>
    <w:rsid w:val="00361789"/>
    <w:rsid w:val="003F0B3C"/>
    <w:rsid w:val="00401AB1"/>
    <w:rsid w:val="004701E4"/>
    <w:rsid w:val="004B3B64"/>
    <w:rsid w:val="004B6512"/>
    <w:rsid w:val="004D734E"/>
    <w:rsid w:val="004E0B72"/>
    <w:rsid w:val="004F46C8"/>
    <w:rsid w:val="00504BA4"/>
    <w:rsid w:val="00532620"/>
    <w:rsid w:val="00542315"/>
    <w:rsid w:val="0055659C"/>
    <w:rsid w:val="00577E52"/>
    <w:rsid w:val="00585AAB"/>
    <w:rsid w:val="005B7D39"/>
    <w:rsid w:val="005F2958"/>
    <w:rsid w:val="006028C6"/>
    <w:rsid w:val="00630BAD"/>
    <w:rsid w:val="00630EDF"/>
    <w:rsid w:val="00642895"/>
    <w:rsid w:val="006477C0"/>
    <w:rsid w:val="00687FAF"/>
    <w:rsid w:val="00694000"/>
    <w:rsid w:val="006A55A9"/>
    <w:rsid w:val="006C2193"/>
    <w:rsid w:val="006F1BC0"/>
    <w:rsid w:val="00701928"/>
    <w:rsid w:val="00706013"/>
    <w:rsid w:val="00710D39"/>
    <w:rsid w:val="007472AC"/>
    <w:rsid w:val="00764394"/>
    <w:rsid w:val="007810FF"/>
    <w:rsid w:val="007825B4"/>
    <w:rsid w:val="007A26EB"/>
    <w:rsid w:val="007C67A1"/>
    <w:rsid w:val="00872227"/>
    <w:rsid w:val="00881B57"/>
    <w:rsid w:val="008B6A02"/>
    <w:rsid w:val="0090500D"/>
    <w:rsid w:val="00922258"/>
    <w:rsid w:val="009A0A0F"/>
    <w:rsid w:val="009E3592"/>
    <w:rsid w:val="00A47625"/>
    <w:rsid w:val="00A47A05"/>
    <w:rsid w:val="00A633EF"/>
    <w:rsid w:val="00A634B6"/>
    <w:rsid w:val="00A64B33"/>
    <w:rsid w:val="00A97616"/>
    <w:rsid w:val="00AC4243"/>
    <w:rsid w:val="00B2790F"/>
    <w:rsid w:val="00B35738"/>
    <w:rsid w:val="00B64AB3"/>
    <w:rsid w:val="00B767C8"/>
    <w:rsid w:val="00BB0E44"/>
    <w:rsid w:val="00BC442D"/>
    <w:rsid w:val="00BE4BFD"/>
    <w:rsid w:val="00C41A07"/>
    <w:rsid w:val="00C533DF"/>
    <w:rsid w:val="00CE0A6C"/>
    <w:rsid w:val="00D02DD6"/>
    <w:rsid w:val="00D10643"/>
    <w:rsid w:val="00D158CA"/>
    <w:rsid w:val="00D9003B"/>
    <w:rsid w:val="00DA4E7C"/>
    <w:rsid w:val="00DE2AE8"/>
    <w:rsid w:val="00E11650"/>
    <w:rsid w:val="00E61B87"/>
    <w:rsid w:val="00E67E96"/>
    <w:rsid w:val="00E77B77"/>
    <w:rsid w:val="00E87BDE"/>
    <w:rsid w:val="00EA217E"/>
    <w:rsid w:val="00EA3A09"/>
    <w:rsid w:val="00EA3E4A"/>
    <w:rsid w:val="00EC7795"/>
    <w:rsid w:val="00EE4DEF"/>
    <w:rsid w:val="00EF0A8F"/>
    <w:rsid w:val="00F04738"/>
    <w:rsid w:val="00F26011"/>
    <w:rsid w:val="00FA47EA"/>
    <w:rsid w:val="00FC2621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72"/>
  </w:style>
  <w:style w:type="paragraph" w:styleId="a5">
    <w:name w:val="footer"/>
    <w:basedOn w:val="a"/>
    <w:link w:val="a6"/>
    <w:uiPriority w:val="99"/>
    <w:unhideWhenUsed/>
    <w:rsid w:val="004E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72"/>
  </w:style>
  <w:style w:type="character" w:styleId="a7">
    <w:name w:val="annotation reference"/>
    <w:basedOn w:val="a0"/>
    <w:uiPriority w:val="99"/>
    <w:semiHidden/>
    <w:unhideWhenUsed/>
    <w:rsid w:val="00FC26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6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6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6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62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621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34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72"/>
  </w:style>
  <w:style w:type="paragraph" w:styleId="a5">
    <w:name w:val="footer"/>
    <w:basedOn w:val="a"/>
    <w:link w:val="a6"/>
    <w:uiPriority w:val="99"/>
    <w:unhideWhenUsed/>
    <w:rsid w:val="004E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72"/>
  </w:style>
  <w:style w:type="character" w:styleId="a7">
    <w:name w:val="annotation reference"/>
    <w:basedOn w:val="a0"/>
    <w:uiPriority w:val="99"/>
    <w:semiHidden/>
    <w:unhideWhenUsed/>
    <w:rsid w:val="00FC26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26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26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26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262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621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3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iw-akty/i0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DCD1-B068-4F12-951A-C3EA9FCD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Маркетинг3</cp:lastModifiedBy>
  <cp:revision>2</cp:revision>
  <cp:lastPrinted>2014-12-09T05:27:00Z</cp:lastPrinted>
  <dcterms:created xsi:type="dcterms:W3CDTF">2015-06-17T08:05:00Z</dcterms:created>
  <dcterms:modified xsi:type="dcterms:W3CDTF">2015-06-17T08:05:00Z</dcterms:modified>
</cp:coreProperties>
</file>